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E3" w:rsidRDefault="00CA4D7D" w:rsidP="003B35BE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tabs>
          <w:tab w:val="center" w:pos="4680"/>
        </w:tabs>
        <w:suppressAutoHyphens/>
        <w:jc w:val="center"/>
        <w:rPr>
          <w:rFonts w:eastAsiaTheme="minorHAnsi"/>
          <w:b/>
          <w:sz w:val="36"/>
        </w:rPr>
      </w:pPr>
      <w:r w:rsidRPr="001A108F">
        <w:rPr>
          <w:noProof/>
        </w:rPr>
        <w:drawing>
          <wp:inline distT="0" distB="0" distL="0" distR="0">
            <wp:extent cx="695325" cy="735330"/>
            <wp:effectExtent l="0" t="0" r="9525" b="7620"/>
            <wp:docPr id="2" name="Picture 2" descr="SDSU Logo" title="SD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Kayte_Other\Logos\S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D7D" w:rsidRPr="001A108F" w:rsidRDefault="00CA4D7D" w:rsidP="003B35BE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tabs>
          <w:tab w:val="center" w:pos="4680"/>
        </w:tabs>
        <w:suppressAutoHyphens/>
        <w:jc w:val="center"/>
        <w:rPr>
          <w:rFonts w:eastAsiaTheme="minorHAnsi"/>
          <w:b/>
          <w:sz w:val="36"/>
        </w:rPr>
      </w:pPr>
      <w:r w:rsidRPr="001A108F">
        <w:rPr>
          <w:rFonts w:eastAsiaTheme="minorHAnsi"/>
          <w:b/>
          <w:sz w:val="36"/>
        </w:rPr>
        <w:t>South Dakota State University</w:t>
      </w:r>
    </w:p>
    <w:p w:rsidR="00CA4D7D" w:rsidRPr="001A108F" w:rsidRDefault="00831210" w:rsidP="0015455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tabs>
          <w:tab w:val="left" w:pos="670"/>
          <w:tab w:val="center" w:pos="4680"/>
          <w:tab w:val="center" w:pos="4950"/>
          <w:tab w:val="center" w:pos="5400"/>
        </w:tabs>
        <w:suppressAutoHyphens/>
        <w:jc w:val="center"/>
        <w:rPr>
          <w:rFonts w:eastAsiaTheme="minorHAnsi"/>
          <w:b/>
        </w:rPr>
      </w:pPr>
      <w:r w:rsidRPr="001A108F">
        <w:rPr>
          <w:rFonts w:eastAsiaTheme="minorHAnsi"/>
          <w:b/>
          <w:sz w:val="36"/>
        </w:rPr>
        <w:t>Student Learning Outcomes</w:t>
      </w:r>
      <w:r w:rsidR="002A6628">
        <w:rPr>
          <w:rFonts w:eastAsiaTheme="minorHAnsi"/>
          <w:b/>
          <w:sz w:val="36"/>
        </w:rPr>
        <w:t xml:space="preserve"> </w:t>
      </w:r>
      <w:r w:rsidRPr="001A108F">
        <w:rPr>
          <w:rFonts w:eastAsiaTheme="minorHAnsi"/>
          <w:b/>
          <w:sz w:val="36"/>
        </w:rPr>
        <w:t>Checklist</w:t>
      </w:r>
    </w:p>
    <w:p w:rsidR="004246FC" w:rsidRPr="001A108F" w:rsidRDefault="004246FC"/>
    <w:p w:rsidR="00C455AC" w:rsidRPr="001A108F" w:rsidRDefault="00A512E1">
      <w:r w:rsidRPr="001A108F">
        <w:rPr>
          <w:shd w:val="clear" w:color="auto" w:fill="FFFFFF"/>
        </w:rPr>
        <w:t>Student learning outcomes (SLOs) statements clearly state the expected knowledge, skills, attitudes, competencies, and habits of mind that students are expected to acquire at an institution of higher education.</w:t>
      </w:r>
      <w:r w:rsidR="002D3488">
        <w:rPr>
          <w:shd w:val="clear" w:color="auto" w:fill="FFFFFF"/>
        </w:rPr>
        <w:t xml:space="preserve"> (NILOA, 2011)</w:t>
      </w:r>
    </w:p>
    <w:p w:rsidR="00C455AC" w:rsidRPr="001A108F" w:rsidRDefault="00C455AC"/>
    <w:p w:rsidR="00C7646E" w:rsidRDefault="00C7646E"/>
    <w:tbl>
      <w:tblPr>
        <w:tblStyle w:val="TableGrid"/>
        <w:tblW w:w="0" w:type="auto"/>
        <w:tblLook w:val="04A0" w:firstRow="1" w:lastRow="0" w:firstColumn="1" w:lastColumn="0" w:noHBand="0" w:noVBand="1"/>
        <w:tblCaption w:val="Undergraduate program example"/>
      </w:tblPr>
      <w:tblGrid>
        <w:gridCol w:w="2425"/>
        <w:gridCol w:w="3150"/>
        <w:gridCol w:w="5215"/>
      </w:tblGrid>
      <w:tr w:rsidR="008841BC" w:rsidTr="00F84D90">
        <w:trPr>
          <w:trHeight w:val="710"/>
          <w:tblHeader/>
        </w:trPr>
        <w:tc>
          <w:tcPr>
            <w:tcW w:w="10790" w:type="dxa"/>
            <w:gridSpan w:val="3"/>
            <w:shd w:val="clear" w:color="auto" w:fill="E7E6E6" w:themeFill="background2"/>
          </w:tcPr>
          <w:p w:rsidR="008841BC" w:rsidRDefault="008841BC" w:rsidP="008841BC">
            <w:r>
              <w:t>Undergraduate program example:</w:t>
            </w:r>
          </w:p>
          <w:p w:rsidR="008841BC" w:rsidRPr="008841BC" w:rsidRDefault="008841BC" w:rsidP="008841BC">
            <w:pPr>
              <w:rPr>
                <w:i/>
              </w:rPr>
            </w:pPr>
            <w:r w:rsidRPr="008841BC">
              <w:rPr>
                <w:i/>
              </w:rPr>
              <w:t>By the completion of the program (or experience):</w:t>
            </w:r>
          </w:p>
          <w:p w:rsidR="008841BC" w:rsidRPr="001A108F" w:rsidRDefault="008841BC" w:rsidP="00C7646E">
            <w:pPr>
              <w:jc w:val="center"/>
              <w:rPr>
                <w:i/>
              </w:rPr>
            </w:pPr>
          </w:p>
        </w:tc>
      </w:tr>
      <w:tr w:rsidR="008841BC" w:rsidTr="00F84D90">
        <w:trPr>
          <w:trHeight w:val="710"/>
        </w:trPr>
        <w:tc>
          <w:tcPr>
            <w:tcW w:w="2425" w:type="dxa"/>
            <w:shd w:val="clear" w:color="auto" w:fill="E7E6E6" w:themeFill="background2"/>
          </w:tcPr>
          <w:p w:rsidR="008841BC" w:rsidRDefault="008841BC" w:rsidP="008841BC">
            <w:pPr>
              <w:jc w:val="center"/>
            </w:pPr>
            <w:r>
              <w:t>Students will</w:t>
            </w:r>
          </w:p>
        </w:tc>
        <w:tc>
          <w:tcPr>
            <w:tcW w:w="3150" w:type="dxa"/>
            <w:shd w:val="clear" w:color="auto" w:fill="E7E6E6" w:themeFill="background2"/>
          </w:tcPr>
          <w:p w:rsidR="008841BC" w:rsidRDefault="008841BC" w:rsidP="008841BC">
            <w:pPr>
              <w:jc w:val="center"/>
            </w:pPr>
            <w:r>
              <w:t>apply</w:t>
            </w:r>
          </w:p>
        </w:tc>
        <w:tc>
          <w:tcPr>
            <w:tcW w:w="5215" w:type="dxa"/>
            <w:shd w:val="clear" w:color="auto" w:fill="E7E6E6" w:themeFill="background2"/>
          </w:tcPr>
          <w:p w:rsidR="008841BC" w:rsidRPr="001A108F" w:rsidRDefault="008841BC" w:rsidP="008841BC">
            <w:pPr>
              <w:jc w:val="center"/>
              <w:rPr>
                <w:i/>
              </w:rPr>
            </w:pPr>
            <w:proofErr w:type="gramStart"/>
            <w:r w:rsidRPr="001A108F">
              <w:rPr>
                <w:i/>
              </w:rPr>
              <w:t>research</w:t>
            </w:r>
            <w:proofErr w:type="gramEnd"/>
            <w:r w:rsidRPr="001A108F">
              <w:rPr>
                <w:i/>
              </w:rPr>
              <w:t xml:space="preserve"> methods in psychology, including research design, data analysis, and interpretation</w:t>
            </w:r>
            <w:r>
              <w:rPr>
                <w:i/>
              </w:rPr>
              <w:t>.</w:t>
            </w:r>
          </w:p>
        </w:tc>
      </w:tr>
      <w:tr w:rsidR="008841BC" w:rsidTr="00F84D90">
        <w:trPr>
          <w:trHeight w:val="440"/>
        </w:trPr>
        <w:tc>
          <w:tcPr>
            <w:tcW w:w="2425" w:type="dxa"/>
          </w:tcPr>
          <w:p w:rsidR="008841BC" w:rsidRDefault="008841BC" w:rsidP="008841BC">
            <w:pPr>
              <w:jc w:val="center"/>
            </w:pPr>
            <w:r>
              <w:t>Student focused</w:t>
            </w:r>
          </w:p>
        </w:tc>
        <w:tc>
          <w:tcPr>
            <w:tcW w:w="3150" w:type="dxa"/>
          </w:tcPr>
          <w:p w:rsidR="008841BC" w:rsidRDefault="008841BC" w:rsidP="008841BC">
            <w:pPr>
              <w:jc w:val="center"/>
            </w:pPr>
            <w:r>
              <w:t>Observable action verbs</w:t>
            </w:r>
          </w:p>
        </w:tc>
        <w:tc>
          <w:tcPr>
            <w:tcW w:w="5215" w:type="dxa"/>
          </w:tcPr>
          <w:p w:rsidR="008841BC" w:rsidRDefault="008841BC" w:rsidP="008841BC">
            <w:pPr>
              <w:jc w:val="center"/>
            </w:pPr>
            <w:r>
              <w:t>Learning Statement</w:t>
            </w:r>
          </w:p>
        </w:tc>
      </w:tr>
    </w:tbl>
    <w:p w:rsidR="00C7646E" w:rsidRPr="00C7646E" w:rsidRDefault="00C7646E"/>
    <w:p w:rsidR="00C7646E" w:rsidRDefault="00C7646E" w:rsidP="00FE44DD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o-Curricular example"/>
      </w:tblPr>
      <w:tblGrid>
        <w:gridCol w:w="2425"/>
        <w:gridCol w:w="3150"/>
        <w:gridCol w:w="5215"/>
      </w:tblGrid>
      <w:tr w:rsidR="008841BC" w:rsidTr="00F84D90">
        <w:trPr>
          <w:trHeight w:val="413"/>
          <w:tblHeader/>
        </w:trPr>
        <w:tc>
          <w:tcPr>
            <w:tcW w:w="10790" w:type="dxa"/>
            <w:gridSpan w:val="3"/>
            <w:shd w:val="clear" w:color="auto" w:fill="E7E6E6" w:themeFill="background2"/>
          </w:tcPr>
          <w:p w:rsidR="008841BC" w:rsidRDefault="008841BC" w:rsidP="008841BC">
            <w:r>
              <w:t>Undergraduate program example:</w:t>
            </w:r>
          </w:p>
          <w:p w:rsidR="008841BC" w:rsidRPr="008841BC" w:rsidRDefault="008841BC" w:rsidP="008841BC">
            <w:pPr>
              <w:rPr>
                <w:i/>
              </w:rPr>
            </w:pPr>
            <w:r w:rsidRPr="008841BC">
              <w:rPr>
                <w:i/>
              </w:rPr>
              <w:t>By the completion of the program (or experience):</w:t>
            </w:r>
          </w:p>
          <w:p w:rsidR="008841BC" w:rsidRPr="00C7646E" w:rsidRDefault="008841BC" w:rsidP="00C7646E">
            <w:pPr>
              <w:jc w:val="center"/>
            </w:pPr>
          </w:p>
        </w:tc>
      </w:tr>
      <w:tr w:rsidR="008841BC" w:rsidTr="00C7646E">
        <w:trPr>
          <w:trHeight w:val="413"/>
        </w:trPr>
        <w:tc>
          <w:tcPr>
            <w:tcW w:w="2425" w:type="dxa"/>
            <w:shd w:val="clear" w:color="auto" w:fill="E7E6E6" w:themeFill="background2"/>
          </w:tcPr>
          <w:p w:rsidR="008841BC" w:rsidRPr="00C7646E" w:rsidRDefault="008841BC" w:rsidP="008841BC">
            <w:pPr>
              <w:jc w:val="center"/>
            </w:pPr>
            <w:r w:rsidRPr="00C7646E">
              <w:t>Students will</w:t>
            </w:r>
          </w:p>
        </w:tc>
        <w:tc>
          <w:tcPr>
            <w:tcW w:w="3150" w:type="dxa"/>
            <w:shd w:val="clear" w:color="auto" w:fill="E7E6E6" w:themeFill="background2"/>
          </w:tcPr>
          <w:p w:rsidR="008841BC" w:rsidRPr="00C7646E" w:rsidRDefault="008841BC" w:rsidP="008841BC">
            <w:pPr>
              <w:jc w:val="center"/>
            </w:pPr>
            <w:r w:rsidRPr="00C7646E">
              <w:t>express</w:t>
            </w:r>
          </w:p>
        </w:tc>
        <w:tc>
          <w:tcPr>
            <w:tcW w:w="5215" w:type="dxa"/>
            <w:shd w:val="clear" w:color="auto" w:fill="E7E6E6" w:themeFill="background2"/>
          </w:tcPr>
          <w:p w:rsidR="008841BC" w:rsidRPr="00C7646E" w:rsidRDefault="008841BC" w:rsidP="008841BC">
            <w:pPr>
              <w:jc w:val="center"/>
            </w:pPr>
            <w:proofErr w:type="gramStart"/>
            <w:r w:rsidRPr="00C7646E">
              <w:t>personal</w:t>
            </w:r>
            <w:proofErr w:type="gramEnd"/>
            <w:r w:rsidRPr="00C7646E">
              <w:t xml:space="preserve"> beliefs with civility and respect.</w:t>
            </w:r>
          </w:p>
        </w:tc>
      </w:tr>
      <w:tr w:rsidR="008841BC" w:rsidTr="00C7646E">
        <w:trPr>
          <w:trHeight w:val="440"/>
        </w:trPr>
        <w:tc>
          <w:tcPr>
            <w:tcW w:w="2425" w:type="dxa"/>
          </w:tcPr>
          <w:p w:rsidR="008841BC" w:rsidRDefault="008841BC" w:rsidP="008841BC">
            <w:pPr>
              <w:jc w:val="center"/>
            </w:pPr>
            <w:r>
              <w:t>Student focused</w:t>
            </w:r>
          </w:p>
        </w:tc>
        <w:tc>
          <w:tcPr>
            <w:tcW w:w="3150" w:type="dxa"/>
          </w:tcPr>
          <w:p w:rsidR="008841BC" w:rsidRDefault="008841BC" w:rsidP="008841BC">
            <w:pPr>
              <w:jc w:val="center"/>
            </w:pPr>
            <w:r>
              <w:t>Observable action verbs</w:t>
            </w:r>
          </w:p>
        </w:tc>
        <w:tc>
          <w:tcPr>
            <w:tcW w:w="5215" w:type="dxa"/>
          </w:tcPr>
          <w:p w:rsidR="008841BC" w:rsidRDefault="008841BC" w:rsidP="008841BC">
            <w:pPr>
              <w:jc w:val="center"/>
            </w:pPr>
            <w:r>
              <w:t>Learning Statement</w:t>
            </w:r>
          </w:p>
        </w:tc>
      </w:tr>
    </w:tbl>
    <w:p w:rsidR="00C7646E" w:rsidRDefault="00C7646E" w:rsidP="00FE44DD">
      <w:pPr>
        <w:rPr>
          <w:i/>
        </w:rPr>
      </w:pPr>
    </w:p>
    <w:p w:rsidR="00F84D90" w:rsidRDefault="00F84D90" w:rsidP="00FE44DD">
      <w:pPr>
        <w:rPr>
          <w:i/>
        </w:rPr>
      </w:pPr>
      <w:bookmarkStart w:id="0" w:name="_GoBack"/>
      <w:bookmarkEnd w:id="0"/>
    </w:p>
    <w:p w:rsidR="00C7646E" w:rsidRPr="001A108F" w:rsidRDefault="00C7646E" w:rsidP="00FE44DD">
      <w:pPr>
        <w:rPr>
          <w:i/>
        </w:rPr>
      </w:pPr>
    </w:p>
    <w:tbl>
      <w:tblPr>
        <w:tblStyle w:val="TableGrid"/>
        <w:tblpPr w:leftFromText="180" w:rightFromText="180" w:vertAnchor="page" w:horzAnchor="margin" w:tblpY="9481"/>
        <w:tblW w:w="0" w:type="auto"/>
        <w:tblLook w:val="04A0" w:firstRow="1" w:lastRow="0" w:firstColumn="1" w:lastColumn="0" w:noHBand="0" w:noVBand="1"/>
        <w:tblCaption w:val="SLO checklist"/>
      </w:tblPr>
      <w:tblGrid>
        <w:gridCol w:w="8005"/>
        <w:gridCol w:w="2785"/>
      </w:tblGrid>
      <w:tr w:rsidR="002A6628" w:rsidRPr="001A108F" w:rsidTr="00F84D90">
        <w:trPr>
          <w:tblHeader/>
        </w:trPr>
        <w:tc>
          <w:tcPr>
            <w:tcW w:w="8005" w:type="dxa"/>
          </w:tcPr>
          <w:p w:rsidR="002A6628" w:rsidRPr="001A108F" w:rsidRDefault="002A6628" w:rsidP="00F84D90">
            <w:pPr>
              <w:spacing w:line="276" w:lineRule="auto"/>
              <w:jc w:val="center"/>
              <w:rPr>
                <w:b/>
              </w:rPr>
            </w:pPr>
            <w:r w:rsidRPr="001A108F">
              <w:rPr>
                <w:b/>
              </w:rPr>
              <w:t>Term</w:t>
            </w:r>
          </w:p>
        </w:tc>
        <w:tc>
          <w:tcPr>
            <w:tcW w:w="2785" w:type="dxa"/>
          </w:tcPr>
          <w:p w:rsidR="002A6628" w:rsidRPr="001A108F" w:rsidRDefault="002A6628" w:rsidP="00F84D90">
            <w:pPr>
              <w:spacing w:line="276" w:lineRule="auto"/>
              <w:jc w:val="center"/>
              <w:rPr>
                <w:b/>
                <w:bCs/>
              </w:rPr>
            </w:pPr>
            <w:r w:rsidRPr="001A108F">
              <w:rPr>
                <w:b/>
                <w:bCs/>
              </w:rPr>
              <w:t>Yes/No</w:t>
            </w:r>
          </w:p>
        </w:tc>
      </w:tr>
      <w:tr w:rsidR="002A6628" w:rsidRPr="001A108F" w:rsidTr="00F84D90">
        <w:tc>
          <w:tcPr>
            <w:tcW w:w="8005" w:type="dxa"/>
          </w:tcPr>
          <w:p w:rsidR="002A6628" w:rsidRPr="001A108F" w:rsidRDefault="002A6628" w:rsidP="00F84D90">
            <w:pPr>
              <w:spacing w:line="276" w:lineRule="auto"/>
            </w:pPr>
            <w:r w:rsidRPr="001A108F">
              <w:t>SLOs are specific to the program or unit</w:t>
            </w:r>
          </w:p>
        </w:tc>
        <w:tc>
          <w:tcPr>
            <w:tcW w:w="2785" w:type="dxa"/>
          </w:tcPr>
          <w:p w:rsidR="002A6628" w:rsidRPr="001A108F" w:rsidRDefault="002A6628" w:rsidP="00F84D90">
            <w:pPr>
              <w:spacing w:line="276" w:lineRule="auto"/>
              <w:rPr>
                <w:bCs/>
              </w:rPr>
            </w:pPr>
          </w:p>
        </w:tc>
      </w:tr>
      <w:tr w:rsidR="002A6628" w:rsidRPr="001A108F" w:rsidTr="00F84D90">
        <w:tc>
          <w:tcPr>
            <w:tcW w:w="8005" w:type="dxa"/>
          </w:tcPr>
          <w:p w:rsidR="002A6628" w:rsidRPr="001A108F" w:rsidRDefault="002A6628" w:rsidP="00F84D90">
            <w:pPr>
              <w:spacing w:line="276" w:lineRule="auto"/>
            </w:pPr>
            <w:r w:rsidRPr="001A108F">
              <w:t xml:space="preserve">SLOs use action verbs </w:t>
            </w:r>
          </w:p>
        </w:tc>
        <w:tc>
          <w:tcPr>
            <w:tcW w:w="2785" w:type="dxa"/>
          </w:tcPr>
          <w:p w:rsidR="002A6628" w:rsidRPr="001A108F" w:rsidRDefault="002A6628" w:rsidP="00F84D90">
            <w:pPr>
              <w:spacing w:line="276" w:lineRule="auto"/>
              <w:rPr>
                <w:bCs/>
              </w:rPr>
            </w:pPr>
          </w:p>
        </w:tc>
      </w:tr>
      <w:tr w:rsidR="002A6628" w:rsidRPr="001A108F" w:rsidTr="00F84D90">
        <w:tc>
          <w:tcPr>
            <w:tcW w:w="8005" w:type="dxa"/>
          </w:tcPr>
          <w:p w:rsidR="002A6628" w:rsidRPr="001A108F" w:rsidRDefault="002A6628" w:rsidP="00F84D90">
            <w:pPr>
              <w:spacing w:line="276" w:lineRule="auto"/>
            </w:pPr>
            <w:r w:rsidRPr="001A108F">
              <w:t xml:space="preserve">SLOs are measurable </w:t>
            </w:r>
          </w:p>
        </w:tc>
        <w:tc>
          <w:tcPr>
            <w:tcW w:w="2785" w:type="dxa"/>
          </w:tcPr>
          <w:p w:rsidR="002A6628" w:rsidRPr="001A108F" w:rsidRDefault="002A6628" w:rsidP="00F84D90">
            <w:pPr>
              <w:spacing w:line="276" w:lineRule="auto"/>
              <w:rPr>
                <w:bCs/>
              </w:rPr>
            </w:pPr>
          </w:p>
        </w:tc>
      </w:tr>
      <w:tr w:rsidR="002A6628" w:rsidRPr="001A108F" w:rsidTr="00F84D90">
        <w:tc>
          <w:tcPr>
            <w:tcW w:w="8005" w:type="dxa"/>
          </w:tcPr>
          <w:p w:rsidR="002A6628" w:rsidRPr="001A108F" w:rsidRDefault="002A6628" w:rsidP="00F84D90">
            <w:pPr>
              <w:spacing w:line="276" w:lineRule="auto"/>
            </w:pPr>
            <w:r w:rsidRPr="001A108F">
              <w:t xml:space="preserve">SLOs are </w:t>
            </w:r>
            <w:r>
              <w:t>connected</w:t>
            </w:r>
            <w:r w:rsidRPr="001A108F">
              <w:t xml:space="preserve"> to the mission of the program or unit</w:t>
            </w:r>
          </w:p>
        </w:tc>
        <w:tc>
          <w:tcPr>
            <w:tcW w:w="2785" w:type="dxa"/>
          </w:tcPr>
          <w:p w:rsidR="002A6628" w:rsidRPr="001A108F" w:rsidRDefault="002A6628" w:rsidP="00F84D90">
            <w:pPr>
              <w:spacing w:line="276" w:lineRule="auto"/>
              <w:rPr>
                <w:bCs/>
              </w:rPr>
            </w:pPr>
          </w:p>
        </w:tc>
      </w:tr>
      <w:tr w:rsidR="002A6628" w:rsidRPr="001A108F" w:rsidTr="00F84D90">
        <w:tc>
          <w:tcPr>
            <w:tcW w:w="8005" w:type="dxa"/>
          </w:tcPr>
          <w:p w:rsidR="002A6628" w:rsidRPr="001A108F" w:rsidRDefault="002A6628" w:rsidP="00F84D90">
            <w:pPr>
              <w:spacing w:line="276" w:lineRule="auto"/>
            </w:pPr>
            <w:r>
              <w:t>SLOs maps to learning processes, curriculum, and co-curriculum</w:t>
            </w:r>
          </w:p>
        </w:tc>
        <w:tc>
          <w:tcPr>
            <w:tcW w:w="2785" w:type="dxa"/>
          </w:tcPr>
          <w:p w:rsidR="002A6628" w:rsidRPr="001A108F" w:rsidRDefault="002A6628" w:rsidP="00F84D90">
            <w:pPr>
              <w:spacing w:line="276" w:lineRule="auto"/>
              <w:rPr>
                <w:bCs/>
              </w:rPr>
            </w:pPr>
          </w:p>
        </w:tc>
      </w:tr>
      <w:tr w:rsidR="002A6628" w:rsidRPr="001A108F" w:rsidTr="00F84D90">
        <w:tc>
          <w:tcPr>
            <w:tcW w:w="8005" w:type="dxa"/>
          </w:tcPr>
          <w:p w:rsidR="002A6628" w:rsidRPr="001A108F" w:rsidRDefault="002A6628" w:rsidP="00F84D90">
            <w:pPr>
              <w:spacing w:line="276" w:lineRule="auto"/>
            </w:pPr>
            <w:r w:rsidRPr="001A108F">
              <w:t>SLOs are student focused</w:t>
            </w:r>
          </w:p>
        </w:tc>
        <w:tc>
          <w:tcPr>
            <w:tcW w:w="2785" w:type="dxa"/>
          </w:tcPr>
          <w:p w:rsidR="002A6628" w:rsidRPr="001A108F" w:rsidRDefault="002A6628" w:rsidP="00F84D90">
            <w:pPr>
              <w:spacing w:line="276" w:lineRule="auto"/>
              <w:rPr>
                <w:bCs/>
              </w:rPr>
            </w:pPr>
          </w:p>
        </w:tc>
      </w:tr>
      <w:tr w:rsidR="002A6628" w:rsidRPr="001A108F" w:rsidTr="00F84D90">
        <w:tc>
          <w:tcPr>
            <w:tcW w:w="8005" w:type="dxa"/>
          </w:tcPr>
          <w:p w:rsidR="002A6628" w:rsidRPr="001A108F" w:rsidRDefault="002A6628" w:rsidP="00F84D90">
            <w:pPr>
              <w:spacing w:line="276" w:lineRule="auto"/>
            </w:pPr>
            <w:r w:rsidRPr="001A108F">
              <w:t>SLOs are understood by faculty, staff, and students</w:t>
            </w:r>
          </w:p>
        </w:tc>
        <w:tc>
          <w:tcPr>
            <w:tcW w:w="2785" w:type="dxa"/>
          </w:tcPr>
          <w:p w:rsidR="002A6628" w:rsidRPr="001A108F" w:rsidRDefault="002A6628" w:rsidP="00F84D90">
            <w:pPr>
              <w:spacing w:line="276" w:lineRule="auto"/>
              <w:rPr>
                <w:bCs/>
              </w:rPr>
            </w:pPr>
          </w:p>
        </w:tc>
      </w:tr>
      <w:tr w:rsidR="002A6628" w:rsidRPr="001A108F" w:rsidTr="00F84D90">
        <w:tc>
          <w:tcPr>
            <w:tcW w:w="8005" w:type="dxa"/>
          </w:tcPr>
          <w:p w:rsidR="002A6628" w:rsidRPr="001A108F" w:rsidRDefault="002A6628" w:rsidP="00F84D90">
            <w:pPr>
              <w:spacing w:line="276" w:lineRule="auto"/>
            </w:pPr>
            <w:r w:rsidRPr="001A108F">
              <w:t>SLOs are prominently posted on program or units website</w:t>
            </w:r>
          </w:p>
        </w:tc>
        <w:tc>
          <w:tcPr>
            <w:tcW w:w="2785" w:type="dxa"/>
          </w:tcPr>
          <w:p w:rsidR="002A6628" w:rsidRPr="001A108F" w:rsidRDefault="002A6628" w:rsidP="00F84D90">
            <w:pPr>
              <w:spacing w:line="276" w:lineRule="auto"/>
              <w:rPr>
                <w:bCs/>
              </w:rPr>
            </w:pPr>
          </w:p>
        </w:tc>
      </w:tr>
      <w:tr w:rsidR="002A6628" w:rsidRPr="001A108F" w:rsidTr="00F84D90">
        <w:tc>
          <w:tcPr>
            <w:tcW w:w="8005" w:type="dxa"/>
          </w:tcPr>
          <w:p w:rsidR="002A6628" w:rsidRPr="001A108F" w:rsidRDefault="002A6628" w:rsidP="00F84D90">
            <w:pPr>
              <w:spacing w:line="276" w:lineRule="auto"/>
            </w:pPr>
            <w:r>
              <w:t xml:space="preserve">SLOs were reviewed and approved by faculty and staff within program or unit </w:t>
            </w:r>
          </w:p>
        </w:tc>
        <w:tc>
          <w:tcPr>
            <w:tcW w:w="2785" w:type="dxa"/>
          </w:tcPr>
          <w:p w:rsidR="002A6628" w:rsidRPr="001A108F" w:rsidRDefault="002A6628" w:rsidP="00F84D90">
            <w:pPr>
              <w:spacing w:line="276" w:lineRule="auto"/>
              <w:rPr>
                <w:bCs/>
              </w:rPr>
            </w:pPr>
          </w:p>
        </w:tc>
      </w:tr>
      <w:tr w:rsidR="002A6628" w:rsidRPr="001A108F" w:rsidTr="00F84D90">
        <w:tc>
          <w:tcPr>
            <w:tcW w:w="8005" w:type="dxa"/>
          </w:tcPr>
          <w:p w:rsidR="002A6628" w:rsidRPr="001A108F" w:rsidRDefault="002A6628" w:rsidP="00F84D90">
            <w:pPr>
              <w:spacing w:line="276" w:lineRule="auto"/>
            </w:pPr>
            <w:r>
              <w:t>Optional: SLOs incorporates or adapts professional organizations’ and/or accreditation outcomes statements</w:t>
            </w:r>
          </w:p>
        </w:tc>
        <w:tc>
          <w:tcPr>
            <w:tcW w:w="2785" w:type="dxa"/>
          </w:tcPr>
          <w:p w:rsidR="002A6628" w:rsidRPr="001A108F" w:rsidRDefault="002A6628" w:rsidP="00F84D90">
            <w:pPr>
              <w:spacing w:line="276" w:lineRule="auto"/>
              <w:rPr>
                <w:bCs/>
              </w:rPr>
            </w:pPr>
          </w:p>
        </w:tc>
      </w:tr>
    </w:tbl>
    <w:p w:rsidR="003D0A04" w:rsidRDefault="003D0A04">
      <w:pPr>
        <w:rPr>
          <w:sz w:val="18"/>
        </w:rPr>
      </w:pPr>
    </w:p>
    <w:p w:rsidR="00154551" w:rsidRDefault="00C27F80">
      <w:pPr>
        <w:rPr>
          <w:sz w:val="18"/>
        </w:rPr>
      </w:pPr>
      <w:r w:rsidRPr="00CE2CD4">
        <w:rPr>
          <w:sz w:val="18"/>
        </w:rPr>
        <w:t>Adapted from</w:t>
      </w:r>
      <w:r w:rsidR="006C0E1D" w:rsidRPr="00CE2CD4">
        <w:rPr>
          <w:sz w:val="18"/>
        </w:rPr>
        <w:t>:</w:t>
      </w:r>
      <w:r w:rsidR="002A6628">
        <w:rPr>
          <w:sz w:val="18"/>
        </w:rPr>
        <w:t xml:space="preserve"> </w:t>
      </w:r>
      <w:proofErr w:type="spellStart"/>
      <w:r w:rsidR="00C455AC" w:rsidRPr="00CE2CD4">
        <w:rPr>
          <w:sz w:val="18"/>
        </w:rPr>
        <w:t>Suskie</w:t>
      </w:r>
      <w:proofErr w:type="spellEnd"/>
      <w:r w:rsidR="00C455AC" w:rsidRPr="00CE2CD4">
        <w:rPr>
          <w:sz w:val="18"/>
        </w:rPr>
        <w:t xml:space="preserve"> (2009)</w:t>
      </w:r>
    </w:p>
    <w:p w:rsidR="0013286C" w:rsidRPr="00CE2CD4" w:rsidRDefault="00A512E1">
      <w:pPr>
        <w:rPr>
          <w:sz w:val="18"/>
        </w:rPr>
      </w:pPr>
      <w:r w:rsidRPr="00CE2CD4">
        <w:rPr>
          <w:sz w:val="18"/>
        </w:rPr>
        <w:t>National Institute for Learning Outcomes Assessment. (2011). Transparency Framework. Urbana, IL: University of Illinois and Indiana University, National Institute for Learning Outcomes Assessment (NILOA). Retrieved from:</w:t>
      </w:r>
      <w:r w:rsidR="0013286C">
        <w:rPr>
          <w:sz w:val="18"/>
        </w:rPr>
        <w:t xml:space="preserve"> </w:t>
      </w:r>
      <w:hyperlink r:id="rId7" w:history="1">
        <w:r w:rsidR="00A24CE3">
          <w:rPr>
            <w:rStyle w:val="Hyperlink"/>
            <w:sz w:val="18"/>
          </w:rPr>
          <w:t>Learning Outcomes Assessment</w:t>
        </w:r>
      </w:hyperlink>
    </w:p>
    <w:sectPr w:rsidR="0013286C" w:rsidRPr="00CE2CD4" w:rsidSect="0015455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D7E" w:rsidRDefault="00294D7E" w:rsidP="003B35BE">
      <w:r>
        <w:separator/>
      </w:r>
    </w:p>
  </w:endnote>
  <w:endnote w:type="continuationSeparator" w:id="0">
    <w:p w:rsidR="00294D7E" w:rsidRDefault="00294D7E" w:rsidP="003B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054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35BE" w:rsidRDefault="003B35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D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35BE" w:rsidRDefault="003B3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D7E" w:rsidRDefault="00294D7E" w:rsidP="003B35BE">
      <w:r>
        <w:separator/>
      </w:r>
    </w:p>
  </w:footnote>
  <w:footnote w:type="continuationSeparator" w:id="0">
    <w:p w:rsidR="00294D7E" w:rsidRDefault="00294D7E" w:rsidP="003B3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7D"/>
    <w:rsid w:val="000D5193"/>
    <w:rsid w:val="0013286C"/>
    <w:rsid w:val="0013462A"/>
    <w:rsid w:val="0014641C"/>
    <w:rsid w:val="00154551"/>
    <w:rsid w:val="001A108F"/>
    <w:rsid w:val="002231EE"/>
    <w:rsid w:val="00294D7E"/>
    <w:rsid w:val="002A6628"/>
    <w:rsid w:val="002D3488"/>
    <w:rsid w:val="003B35BE"/>
    <w:rsid w:val="003D0A04"/>
    <w:rsid w:val="00412C0E"/>
    <w:rsid w:val="004246FC"/>
    <w:rsid w:val="00473C2C"/>
    <w:rsid w:val="00495870"/>
    <w:rsid w:val="00507E67"/>
    <w:rsid w:val="00610DFD"/>
    <w:rsid w:val="006C0E1D"/>
    <w:rsid w:val="007113F3"/>
    <w:rsid w:val="00765F4E"/>
    <w:rsid w:val="00807429"/>
    <w:rsid w:val="00824311"/>
    <w:rsid w:val="00831210"/>
    <w:rsid w:val="008841BC"/>
    <w:rsid w:val="008C4E3C"/>
    <w:rsid w:val="009532A0"/>
    <w:rsid w:val="00A24CE3"/>
    <w:rsid w:val="00A512E1"/>
    <w:rsid w:val="00C27F80"/>
    <w:rsid w:val="00C455AC"/>
    <w:rsid w:val="00C7646E"/>
    <w:rsid w:val="00CA4D7D"/>
    <w:rsid w:val="00CE2CD4"/>
    <w:rsid w:val="00D133EB"/>
    <w:rsid w:val="00E25922"/>
    <w:rsid w:val="00E351ED"/>
    <w:rsid w:val="00E521B9"/>
    <w:rsid w:val="00F13206"/>
    <w:rsid w:val="00F639BD"/>
    <w:rsid w:val="00F84D90"/>
    <w:rsid w:val="00F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F14714"/>
  <w15:chartTrackingRefBased/>
  <w15:docId w15:val="{C2C2CFEB-43CB-4638-96F5-1F845B5E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D7D"/>
  </w:style>
  <w:style w:type="character" w:styleId="Hyperlink">
    <w:name w:val="Hyperlink"/>
    <w:basedOn w:val="DefaultParagraphFont"/>
    <w:uiPriority w:val="99"/>
    <w:unhideWhenUsed/>
    <w:rsid w:val="00CA4D7D"/>
    <w:rPr>
      <w:color w:val="0000FF"/>
      <w:u w:val="single"/>
    </w:rPr>
  </w:style>
  <w:style w:type="paragraph" w:customStyle="1" w:styleId="msoaccenttext4">
    <w:name w:val="msoaccenttext4"/>
    <w:rsid w:val="00CA4D7D"/>
    <w:pPr>
      <w:spacing w:after="0" w:line="300" w:lineRule="auto"/>
    </w:pPr>
    <w:rPr>
      <w:rFonts w:ascii="Arial" w:eastAsia="Times New Roman" w:hAnsi="Arial" w:cs="Arial"/>
      <w:b/>
      <w:bCs/>
      <w:color w:val="1C1C1C"/>
      <w:kern w:val="28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3B3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5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3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5B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C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0E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24C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earningoutcomesassessment.org/TransparencyFrameworkIntro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Jana</dc:creator>
  <cp:keywords/>
  <dc:description/>
  <cp:lastModifiedBy>Hieb, Kasee</cp:lastModifiedBy>
  <cp:revision>4</cp:revision>
  <cp:lastPrinted>2016-07-29T14:45:00Z</cp:lastPrinted>
  <dcterms:created xsi:type="dcterms:W3CDTF">2018-05-03T19:51:00Z</dcterms:created>
  <dcterms:modified xsi:type="dcterms:W3CDTF">2018-05-03T20:04:00Z</dcterms:modified>
</cp:coreProperties>
</file>